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5E" w:rsidRPr="009D2AAB" w:rsidRDefault="00603F5E" w:rsidP="00603F5E">
      <w:pPr>
        <w:widowControl/>
        <w:shd w:val="clear" w:color="auto" w:fill="FFFFFF"/>
        <w:spacing w:before="225" w:after="90" w:line="465" w:lineRule="atLeast"/>
        <w:jc w:val="center"/>
        <w:outlineLvl w:val="1"/>
        <w:rPr>
          <w:rFonts w:ascii="Simsun" w:eastAsia="宋体" w:hAnsi="Simsun" w:cs="宋体" w:hint="eastAsia"/>
          <w:b/>
          <w:bCs/>
          <w:spacing w:val="-15"/>
          <w:kern w:val="0"/>
          <w:sz w:val="36"/>
          <w:szCs w:val="36"/>
        </w:rPr>
      </w:pPr>
      <w:r w:rsidRPr="009D2AAB">
        <w:rPr>
          <w:rFonts w:ascii="Simsun" w:eastAsia="宋体" w:hAnsi="Simsun" w:cs="宋体" w:hint="eastAsia"/>
          <w:b/>
          <w:bCs/>
          <w:spacing w:val="-15"/>
          <w:kern w:val="0"/>
          <w:sz w:val="36"/>
          <w:szCs w:val="36"/>
        </w:rPr>
        <w:t>《</w:t>
      </w:r>
      <w:r w:rsidRPr="009D2AAB">
        <w:rPr>
          <w:rFonts w:ascii="Simsun" w:eastAsia="宋体" w:hAnsi="Simsun" w:cs="宋体"/>
          <w:b/>
          <w:bCs/>
          <w:spacing w:val="-15"/>
          <w:kern w:val="0"/>
          <w:sz w:val="36"/>
          <w:szCs w:val="36"/>
        </w:rPr>
        <w:t>领导干部个人有关事项报告查核结果处理办法</w:t>
      </w:r>
      <w:r w:rsidRPr="009D2AAB">
        <w:rPr>
          <w:rFonts w:ascii="Simsun" w:eastAsia="宋体" w:hAnsi="Simsun" w:cs="宋体" w:hint="eastAsia"/>
          <w:b/>
          <w:bCs/>
          <w:spacing w:val="-15"/>
          <w:kern w:val="0"/>
          <w:sz w:val="36"/>
          <w:szCs w:val="36"/>
        </w:rPr>
        <w:t>》</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9D2AAB">
        <w:rPr>
          <w:rFonts w:ascii="Simsun" w:eastAsia="宋体" w:hAnsi="Simsun" w:cs="宋体"/>
          <w:kern w:val="0"/>
          <w:sz w:val="24"/>
          <w:szCs w:val="24"/>
        </w:rPr>
        <w:t xml:space="preserve">　</w:t>
      </w:r>
      <w:bookmarkStart w:id="0" w:name="_GoBack"/>
      <w:r w:rsidRPr="008759F9">
        <w:rPr>
          <w:rFonts w:ascii="仿宋" w:eastAsia="仿宋" w:hAnsi="仿宋" w:cs="宋体"/>
          <w:kern w:val="0"/>
          <w:sz w:val="32"/>
          <w:szCs w:val="32"/>
        </w:rPr>
        <w:t xml:space="preserve">　第一条 为规范领导干部个人有关事项报告查核结果处理工作，强化查核结果运用，根据《领导干部报告个人有关事项规定》和有关规定，制定本办法。</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第二条 查核结果认定与处理，由组织(人事)部门干部监督机构会同干部工作机构组织实施。</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第三条 查核结果与领导干部当年年度集中报告的个人有关事项内容不一致，有下列情形之一的，一般认定为漏报行为：</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(一)未报告本人持有往来港澳通行证、因私持有大陆居民往来台湾通行证或者因私往来港澳、台湾情况的;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(二)少报告房产面积或者未报告车库、车位、储藏间的;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(三)少报告持有</w:t>
      </w:r>
      <w:hyperlink r:id="rId6" w:tgtFrame="_blank" w:history="1">
        <w:r w:rsidRPr="008759F9">
          <w:rPr>
            <w:rFonts w:ascii="仿宋" w:eastAsia="仿宋" w:hAnsi="仿宋" w:cs="宋体"/>
            <w:kern w:val="0"/>
            <w:sz w:val="32"/>
            <w:szCs w:val="32"/>
            <w:u w:val="single"/>
          </w:rPr>
          <w:t>股票</w:t>
        </w:r>
      </w:hyperlink>
      <w:r w:rsidRPr="008759F9">
        <w:rPr>
          <w:rFonts w:ascii="仿宋" w:eastAsia="仿宋" w:hAnsi="仿宋" w:cs="宋体"/>
          <w:kern w:val="0"/>
          <w:sz w:val="32"/>
          <w:szCs w:val="32"/>
        </w:rPr>
        <w:t>、基金、投资型</w:t>
      </w:r>
      <w:hyperlink r:id="rId7" w:tgtFrame="_blank" w:history="1">
        <w:r w:rsidRPr="008759F9">
          <w:rPr>
            <w:rFonts w:ascii="仿宋" w:eastAsia="仿宋" w:hAnsi="仿宋" w:cs="宋体"/>
            <w:kern w:val="0"/>
            <w:sz w:val="32"/>
            <w:szCs w:val="32"/>
            <w:u w:val="single"/>
          </w:rPr>
          <w:t>保险</w:t>
        </w:r>
      </w:hyperlink>
      <w:r w:rsidRPr="008759F9">
        <w:rPr>
          <w:rFonts w:ascii="仿宋" w:eastAsia="仿宋" w:hAnsi="仿宋" w:cs="宋体"/>
          <w:kern w:val="0"/>
          <w:sz w:val="32"/>
          <w:szCs w:val="32"/>
        </w:rPr>
        <w:t>金额等情况的;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(四)少报告投资非上市股份有限公司、有限责任公司或者注册个体</w:t>
      </w:r>
      <w:hyperlink r:id="rId8" w:tgtFrame="_blank" w:history="1">
        <w:r w:rsidRPr="008759F9">
          <w:rPr>
            <w:rFonts w:ascii="仿宋" w:eastAsia="仿宋" w:hAnsi="仿宋" w:cs="宋体"/>
            <w:kern w:val="0"/>
            <w:sz w:val="32"/>
            <w:szCs w:val="32"/>
            <w:u w:val="single"/>
          </w:rPr>
          <w:t>工商</w:t>
        </w:r>
      </w:hyperlink>
      <w:r w:rsidRPr="008759F9">
        <w:rPr>
          <w:rFonts w:ascii="仿宋" w:eastAsia="仿宋" w:hAnsi="仿宋" w:cs="宋体"/>
          <w:kern w:val="0"/>
          <w:sz w:val="32"/>
          <w:szCs w:val="32"/>
        </w:rPr>
        <w:t>户、个人独资企业、合伙企业的投资金额等情况的;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(五)存在其他漏报情形的。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第四条 查核结果与领导干部当年年度集中报告的个人有关事项内容不一致，有下列情形之一的，一般认定为隐瞒不报行为：</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lastRenderedPageBreak/>
        <w:t xml:space="preserve">　　(一)未报告本人婚姻情况的;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(二)未报告本人持有普通护照或者因私</w:t>
      </w:r>
      <w:hyperlink r:id="rId9" w:tgtFrame="_blank" w:history="1">
        <w:r w:rsidRPr="008759F9">
          <w:rPr>
            <w:rFonts w:ascii="仿宋" w:eastAsia="仿宋" w:hAnsi="仿宋" w:cs="宋体"/>
            <w:kern w:val="0"/>
            <w:sz w:val="32"/>
            <w:szCs w:val="32"/>
            <w:u w:val="single"/>
          </w:rPr>
          <w:t>出国</w:t>
        </w:r>
      </w:hyperlink>
      <w:r w:rsidRPr="008759F9">
        <w:rPr>
          <w:rFonts w:ascii="仿宋" w:eastAsia="仿宋" w:hAnsi="仿宋" w:cs="宋体"/>
          <w:kern w:val="0"/>
          <w:sz w:val="32"/>
          <w:szCs w:val="32"/>
        </w:rPr>
        <w:t>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(三)未报告子女与外国人、无国籍人，或者与港澳、台湾居民通婚情况的;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(四)未报告配偶、子女移居国(境)外或者虽未移居国(境)外但连续在国(境)外工作、生活一年以上情况的;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(五)未报告配偶、子女及其配偶从业情况的;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(六)未报告配偶、子女及其配偶被司法机关追究刑事责任情况的;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(七)未报告房产1套以上(不含车库、车位、储藏间)的;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(八)未报告持有股票、基金、投资型保险等情况的;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(九)未报告投资非上市股份有限公司、有限责任公司或者注册个体工商户、个人独资企业、合伙企业等1家以上的;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(十)存在其他隐瞒不报情形的。</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第五条 经认定，查核结果凡属漏报行为，情节较轻的，应当给予批评</w:t>
      </w:r>
      <w:hyperlink r:id="rId10" w:tgtFrame="_blank" w:history="1">
        <w:r w:rsidRPr="008759F9">
          <w:rPr>
            <w:rFonts w:ascii="仿宋" w:eastAsia="仿宋" w:hAnsi="仿宋" w:cs="宋体"/>
            <w:kern w:val="0"/>
            <w:sz w:val="32"/>
            <w:szCs w:val="32"/>
            <w:u w:val="single"/>
          </w:rPr>
          <w:t>教育</w:t>
        </w:r>
      </w:hyperlink>
      <w:r w:rsidRPr="008759F9">
        <w:rPr>
          <w:rFonts w:ascii="仿宋" w:eastAsia="仿宋" w:hAnsi="仿宋" w:cs="宋体"/>
          <w:kern w:val="0"/>
          <w:sz w:val="32"/>
          <w:szCs w:val="32"/>
        </w:rPr>
        <w:t>、责令作出检查、限期改正等处理;情节较重的，应当给予诫勉、取消考察对象(后备干部人选)资格、调离岗位、改任非领导职务等处理。情节较重是指少报房产面积50平方米以上，或者少报告投资金额30万元</w:t>
      </w:r>
      <w:r w:rsidRPr="008759F9">
        <w:rPr>
          <w:rFonts w:ascii="仿宋" w:eastAsia="仿宋" w:hAnsi="仿宋" w:cs="宋体"/>
          <w:kern w:val="0"/>
          <w:sz w:val="32"/>
          <w:szCs w:val="32"/>
        </w:rPr>
        <w:lastRenderedPageBreak/>
        <w:t>以上，或者其他漏报情形较重的。存在两种以上漏报情形的，从重处理。</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经认定，查核结果凡属隐瞒不报行为的，应当根据情节轻重，给予诫勉、取消考察对象(后备干部人选)资格、调离岗位、改任非领导职务、免职、降职等处理。存在两种以上隐瞒不报情形的，从重处理。</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隐瞒不报情节较重或者查核发现涉嫌其他违纪问题的，依照《中国共产党纪律处分</w:t>
      </w:r>
      <w:hyperlink r:id="rId11" w:tgtFrame="_blank" w:history="1">
        <w:r w:rsidRPr="008759F9">
          <w:rPr>
            <w:rFonts w:ascii="仿宋" w:eastAsia="仿宋" w:hAnsi="仿宋" w:cs="宋体"/>
            <w:kern w:val="0"/>
            <w:sz w:val="32"/>
            <w:szCs w:val="32"/>
            <w:u w:val="single"/>
          </w:rPr>
          <w:t>条例</w:t>
        </w:r>
      </w:hyperlink>
      <w:r w:rsidRPr="008759F9">
        <w:rPr>
          <w:rFonts w:ascii="仿宋" w:eastAsia="仿宋" w:hAnsi="仿宋" w:cs="宋体"/>
          <w:kern w:val="0"/>
          <w:sz w:val="32"/>
          <w:szCs w:val="32"/>
        </w:rPr>
        <w:t>》等追究纪律责任。</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查核发现领导干部的家庭财产明显超过正常收入的，应当要求本人在15个工作日内说明来源，必要时组织(人事)部门会同有关部门对其财产来源的合法性进行验证。对拒不说明、无法说明财产合法来源或者经查证说明不属实的，由执纪执法机关按照有关规定处理。</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第六条 领导干部因违反报告个人有关事项规定受到组织处理或者纪律处分的，其影响期按照有关规定执行。同时受到组织处理和纪律处分的，按照影响期长的规定执行。</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(一)受到诫勉处理的，半年内不得提拔或者进一步使用;</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(二)受到取消考察对象(后备干部人选)资格处理的，一年内不得提拔或者进一步使用;</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lastRenderedPageBreak/>
        <w:t xml:space="preserve">　　(三)受到调离岗位、改任非领导职务、免职处理的，一年内不得提拔;</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(四)受到降职处理的，两年内不得提拔;</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(五)受到纪律处分的，依照《中国共产党纪律处分条例》等规定执行。</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第七条 组织(人事)部门应当加强对本办法执行情况的监督检查。</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第八条 本办法由中共中央组织部负责解释。</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Calibri" w:eastAsia="仿宋" w:hAnsi="Calibri" w:cs="Calibri"/>
          <w:kern w:val="0"/>
          <w:sz w:val="32"/>
          <w:szCs w:val="32"/>
        </w:rPr>
        <w:t> </w:t>
      </w:r>
    </w:p>
    <w:p w:rsidR="00603F5E" w:rsidRPr="008759F9" w:rsidRDefault="00603F5E" w:rsidP="00603F5E">
      <w:pPr>
        <w:widowControl/>
        <w:shd w:val="clear" w:color="auto" w:fill="FFFFFF"/>
        <w:spacing w:line="450" w:lineRule="atLeast"/>
        <w:ind w:right="300"/>
        <w:rPr>
          <w:rFonts w:ascii="仿宋" w:eastAsia="仿宋" w:hAnsi="仿宋" w:cs="宋体"/>
          <w:kern w:val="0"/>
          <w:sz w:val="32"/>
          <w:szCs w:val="32"/>
        </w:rPr>
      </w:pPr>
      <w:r w:rsidRPr="008759F9">
        <w:rPr>
          <w:rFonts w:ascii="仿宋" w:eastAsia="仿宋" w:hAnsi="仿宋" w:cs="宋体"/>
          <w:kern w:val="0"/>
          <w:sz w:val="32"/>
          <w:szCs w:val="32"/>
        </w:rPr>
        <w:t xml:space="preserve">　　第九条 本办法自2017年2月8日起施行。</w:t>
      </w:r>
    </w:p>
    <w:bookmarkEnd w:id="0"/>
    <w:p w:rsidR="00282D13" w:rsidRPr="008759F9" w:rsidRDefault="00282D13">
      <w:pPr>
        <w:rPr>
          <w:rFonts w:ascii="仿宋" w:eastAsia="仿宋" w:hAnsi="仿宋"/>
          <w:sz w:val="32"/>
          <w:szCs w:val="32"/>
        </w:rPr>
      </w:pPr>
    </w:p>
    <w:sectPr w:rsidR="00282D13" w:rsidRPr="00875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98" w:rsidRDefault="00114098" w:rsidP="009D2AAB">
      <w:r>
        <w:separator/>
      </w:r>
    </w:p>
  </w:endnote>
  <w:endnote w:type="continuationSeparator" w:id="0">
    <w:p w:rsidR="00114098" w:rsidRDefault="00114098" w:rsidP="009D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98" w:rsidRDefault="00114098" w:rsidP="009D2AAB">
      <w:r>
        <w:separator/>
      </w:r>
    </w:p>
  </w:footnote>
  <w:footnote w:type="continuationSeparator" w:id="0">
    <w:p w:rsidR="00114098" w:rsidRDefault="00114098" w:rsidP="009D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5E"/>
    <w:rsid w:val="00114098"/>
    <w:rsid w:val="00282D13"/>
    <w:rsid w:val="00603F5E"/>
    <w:rsid w:val="008759F9"/>
    <w:rsid w:val="009D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2F409-9141-4E85-9862-8E788422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03F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3F5E"/>
    <w:rPr>
      <w:rFonts w:ascii="宋体" w:eastAsia="宋体" w:hAnsi="宋体" w:cs="宋体"/>
      <w:b/>
      <w:bCs/>
      <w:kern w:val="0"/>
      <w:sz w:val="36"/>
      <w:szCs w:val="36"/>
    </w:rPr>
  </w:style>
  <w:style w:type="character" w:styleId="a3">
    <w:name w:val="Strong"/>
    <w:basedOn w:val="a0"/>
    <w:uiPriority w:val="22"/>
    <w:qFormat/>
    <w:rsid w:val="00603F5E"/>
    <w:rPr>
      <w:b/>
      <w:bCs/>
    </w:rPr>
  </w:style>
  <w:style w:type="paragraph" w:styleId="a4">
    <w:name w:val="Normal (Web)"/>
    <w:basedOn w:val="a"/>
    <w:uiPriority w:val="99"/>
    <w:semiHidden/>
    <w:unhideWhenUsed/>
    <w:rsid w:val="00603F5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03F5E"/>
    <w:rPr>
      <w:color w:val="0000FF"/>
      <w:u w:val="single"/>
    </w:rPr>
  </w:style>
  <w:style w:type="paragraph" w:styleId="a6">
    <w:name w:val="header"/>
    <w:basedOn w:val="a"/>
    <w:link w:val="Char"/>
    <w:uiPriority w:val="99"/>
    <w:unhideWhenUsed/>
    <w:rsid w:val="009D2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2AAB"/>
    <w:rPr>
      <w:sz w:val="18"/>
      <w:szCs w:val="18"/>
    </w:rPr>
  </w:style>
  <w:style w:type="paragraph" w:styleId="a7">
    <w:name w:val="footer"/>
    <w:basedOn w:val="a"/>
    <w:link w:val="Char0"/>
    <w:uiPriority w:val="99"/>
    <w:unhideWhenUsed/>
    <w:rsid w:val="009D2AAB"/>
    <w:pPr>
      <w:tabs>
        <w:tab w:val="center" w:pos="4153"/>
        <w:tab w:val="right" w:pos="8306"/>
      </w:tabs>
      <w:snapToGrid w:val="0"/>
      <w:jc w:val="left"/>
    </w:pPr>
    <w:rPr>
      <w:sz w:val="18"/>
      <w:szCs w:val="18"/>
    </w:rPr>
  </w:style>
  <w:style w:type="character" w:customStyle="1" w:styleId="Char0">
    <w:name w:val="页脚 Char"/>
    <w:basedOn w:val="a0"/>
    <w:link w:val="a7"/>
    <w:uiPriority w:val="99"/>
    <w:rsid w:val="009D2A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chuangye/gongsha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xuexila.com/shenghuo/licai/baoxi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licai/gupiao/" TargetMode="External"/><Relationship Id="rId11" Type="http://schemas.openxmlformats.org/officeDocument/2006/relationships/hyperlink" Target="http://www.xuexila.com/fanwen/tiaoli/" TargetMode="External"/><Relationship Id="rId5" Type="http://schemas.openxmlformats.org/officeDocument/2006/relationships/endnotes" Target="endnotes.xml"/><Relationship Id="rId10" Type="http://schemas.openxmlformats.org/officeDocument/2006/relationships/hyperlink" Target="http://www.xuexila.com/news/jiaoyu/" TargetMode="External"/><Relationship Id="rId4" Type="http://schemas.openxmlformats.org/officeDocument/2006/relationships/footnotes" Target="footnotes.xml"/><Relationship Id="rId9" Type="http://schemas.openxmlformats.org/officeDocument/2006/relationships/hyperlink" Target="http://www.xuexila.com/news/chugu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2017-08-04T06:41:00Z</dcterms:created>
  <dcterms:modified xsi:type="dcterms:W3CDTF">2017-08-04T07:15:00Z</dcterms:modified>
</cp:coreProperties>
</file>