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7"/>
        <w:tblW w:w="8200" w:type="dxa"/>
        <w:tblInd w:w="1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80"/>
        <w:gridCol w:w="6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64" w:hRule="atLeast"/>
        </w:trPr>
        <w:tc>
          <w:tcPr>
            <w:tcW w:w="1580" w:type="dxa"/>
            <w:vAlign w:val="center"/>
          </w:tcPr>
          <w:p>
            <w:pPr>
              <w:jc w:val="right"/>
              <w:rPr>
                <w:rFonts w:hint="eastAsia" w:eastAsia="宋体"/>
                <w:sz w:val="21"/>
                <w:szCs w:val="21"/>
                <w:vertAlign w:val="baseline"/>
                <w:lang w:eastAsia="zh-CN"/>
              </w:rPr>
            </w:pPr>
            <w:bookmarkStart w:id="0" w:name="_GoBack" w:colFirst="1" w:colLast="1"/>
            <w:r>
              <w:rPr>
                <w:rFonts w:hint="eastAsia"/>
                <w:sz w:val="21"/>
                <w:szCs w:val="21"/>
                <w:vertAlign w:val="baseline"/>
                <w:lang w:eastAsia="zh-CN"/>
              </w:rPr>
              <w:t>论文题目：</w:t>
            </w:r>
          </w:p>
        </w:tc>
        <w:tc>
          <w:tcPr>
            <w:tcW w:w="6620" w:type="dxa"/>
            <w:vAlign w:val="center"/>
          </w:tcPr>
          <w:p>
            <w:pPr>
              <w:jc w:val="both"/>
              <w:rPr>
                <w:b/>
                <w:bCs/>
                <w:sz w:val="21"/>
                <w:szCs w:val="21"/>
                <w:vertAlign w:val="baseline"/>
              </w:rPr>
            </w:pPr>
            <w:r>
              <w:rPr>
                <w:rFonts w:hint="eastAsia"/>
                <w:b/>
                <w:bCs/>
                <w:sz w:val="21"/>
                <w:szCs w:val="21"/>
              </w:rPr>
              <w:t>"Evaluation of a New Entomopathogenic</w:t>
            </w:r>
            <w:r>
              <w:rPr>
                <w:rFonts w:hint="eastAsia"/>
                <w:b/>
                <w:bCs/>
                <w:sz w:val="21"/>
                <w:szCs w:val="21"/>
                <w:lang w:val="en-US" w:eastAsia="zh-CN"/>
              </w:rPr>
              <w:t xml:space="preserve"> </w:t>
            </w:r>
            <w:r>
              <w:rPr>
                <w:rFonts w:hint="eastAsia"/>
                <w:b/>
                <w:bCs/>
                <w:sz w:val="21"/>
                <w:szCs w:val="21"/>
              </w:rPr>
              <w:t>Strain of Beauveria bassiana and a New Field Delivery Method against Solenopsis invicta"</w:t>
            </w:r>
          </w:p>
        </w:tc>
      </w:tr>
      <w:bookmarkEnd w:id="0"/>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atLeast"/>
        </w:trPr>
        <w:tc>
          <w:tcPr>
            <w:tcW w:w="1580" w:type="dxa"/>
            <w:vAlign w:val="center"/>
          </w:tcPr>
          <w:p>
            <w:pPr>
              <w:jc w:val="right"/>
              <w:rPr>
                <w:rFonts w:hint="eastAsia" w:eastAsia="宋体"/>
                <w:sz w:val="21"/>
                <w:szCs w:val="21"/>
                <w:vertAlign w:val="baseline"/>
                <w:lang w:eastAsia="zh-CN"/>
              </w:rPr>
            </w:pPr>
            <w:r>
              <w:rPr>
                <w:rFonts w:hint="eastAsia"/>
                <w:sz w:val="21"/>
                <w:szCs w:val="21"/>
                <w:vertAlign w:val="baseline"/>
                <w:lang w:eastAsia="zh-CN"/>
              </w:rPr>
              <w:t>作者：</w:t>
            </w:r>
          </w:p>
        </w:tc>
        <w:tc>
          <w:tcPr>
            <w:tcW w:w="6620" w:type="dxa"/>
            <w:vAlign w:val="center"/>
          </w:tcPr>
          <w:p>
            <w:pPr>
              <w:jc w:val="both"/>
              <w:rPr>
                <w:sz w:val="21"/>
                <w:szCs w:val="21"/>
                <w:vertAlign w:val="baseline"/>
              </w:rPr>
            </w:pPr>
            <w:r>
              <w:rPr>
                <w:rFonts w:hint="eastAsia"/>
                <w:sz w:val="21"/>
                <w:szCs w:val="21"/>
              </w:rPr>
              <w:t>Li J, Guo Q＃, Lin MF, Jiang L＃, Ye JW, Chen DS,</w:t>
            </w:r>
            <w:r>
              <w:rPr>
                <w:rFonts w:hint="eastAsia"/>
                <w:sz w:val="21"/>
                <w:szCs w:val="21"/>
                <w:lang w:val="en-US" w:eastAsia="zh-CN"/>
              </w:rPr>
              <w:t xml:space="preserve"> </w:t>
            </w:r>
            <w:r>
              <w:rPr>
                <w:rFonts w:hint="eastAsia"/>
                <w:sz w:val="21"/>
                <w:szCs w:val="21"/>
              </w:rPr>
              <w:t>Li ZG, Dai JQ, Han SC*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atLeast"/>
        </w:trPr>
        <w:tc>
          <w:tcPr>
            <w:tcW w:w="1580" w:type="dxa"/>
            <w:vAlign w:val="center"/>
          </w:tcPr>
          <w:p>
            <w:pPr>
              <w:jc w:val="right"/>
              <w:rPr>
                <w:rFonts w:hint="eastAsia" w:eastAsia="宋体"/>
                <w:sz w:val="21"/>
                <w:szCs w:val="21"/>
                <w:vertAlign w:val="baseline"/>
                <w:lang w:eastAsia="zh-CN"/>
              </w:rPr>
            </w:pPr>
            <w:r>
              <w:rPr>
                <w:rFonts w:hint="eastAsia"/>
                <w:sz w:val="21"/>
                <w:szCs w:val="21"/>
                <w:vertAlign w:val="baseline"/>
                <w:lang w:eastAsia="zh-CN"/>
              </w:rPr>
              <w:t>年：</w:t>
            </w:r>
          </w:p>
        </w:tc>
        <w:tc>
          <w:tcPr>
            <w:tcW w:w="6620" w:type="dxa"/>
            <w:vAlign w:val="center"/>
          </w:tcPr>
          <w:p>
            <w:pPr>
              <w:jc w:val="both"/>
              <w:rPr>
                <w:rFonts w:hint="eastAsia" w:eastAsia="宋体"/>
                <w:sz w:val="21"/>
                <w:szCs w:val="21"/>
                <w:vertAlign w:val="baseline"/>
                <w:lang w:val="en-US" w:eastAsia="zh-CN"/>
              </w:rPr>
            </w:pPr>
            <w:r>
              <w:rPr>
                <w:rFonts w:hint="eastAsia"/>
                <w:sz w:val="21"/>
                <w:szCs w:val="21"/>
                <w:vertAlign w:val="baseline"/>
                <w:lang w:val="en-US" w:eastAsia="zh-CN"/>
              </w:rPr>
              <w:t>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atLeast"/>
        </w:trPr>
        <w:tc>
          <w:tcPr>
            <w:tcW w:w="1580" w:type="dxa"/>
            <w:vAlign w:val="center"/>
          </w:tcPr>
          <w:p>
            <w:pPr>
              <w:jc w:val="right"/>
              <w:rPr>
                <w:rFonts w:hint="eastAsia" w:eastAsia="宋体"/>
                <w:sz w:val="21"/>
                <w:szCs w:val="21"/>
                <w:vertAlign w:val="baseline"/>
                <w:lang w:eastAsia="zh-CN"/>
              </w:rPr>
            </w:pPr>
            <w:r>
              <w:rPr>
                <w:rFonts w:hint="eastAsia"/>
                <w:sz w:val="21"/>
                <w:szCs w:val="21"/>
                <w:vertAlign w:val="baseline"/>
                <w:lang w:eastAsia="zh-CN"/>
              </w:rPr>
              <w:t>卷：</w:t>
            </w:r>
          </w:p>
        </w:tc>
        <w:tc>
          <w:tcPr>
            <w:tcW w:w="6620" w:type="dxa"/>
            <w:vAlign w:val="center"/>
          </w:tcPr>
          <w:p>
            <w:pPr>
              <w:jc w:val="both"/>
              <w:rPr>
                <w:rFonts w:hint="eastAsia" w:eastAsia="宋体"/>
                <w:sz w:val="21"/>
                <w:szCs w:val="21"/>
                <w:vertAlign w:val="baseline"/>
                <w:lang w:val="en-US" w:eastAsia="zh-CN"/>
              </w:rPr>
            </w:pPr>
            <w:r>
              <w:rPr>
                <w:rFonts w:hint="eastAsia"/>
                <w:sz w:val="21"/>
                <w:szCs w:val="21"/>
                <w:vertAlign w:val="baseline"/>
                <w:lang w:val="en-US" w:eastAsia="zh-CN"/>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atLeast"/>
        </w:trPr>
        <w:tc>
          <w:tcPr>
            <w:tcW w:w="1580" w:type="dxa"/>
            <w:vAlign w:val="center"/>
          </w:tcPr>
          <w:p>
            <w:pPr>
              <w:jc w:val="right"/>
              <w:rPr>
                <w:rFonts w:hint="eastAsia" w:eastAsia="宋体"/>
                <w:sz w:val="21"/>
                <w:szCs w:val="21"/>
                <w:vertAlign w:val="baseline"/>
                <w:lang w:eastAsia="zh-CN"/>
              </w:rPr>
            </w:pPr>
            <w:r>
              <w:rPr>
                <w:rFonts w:hint="eastAsia"/>
                <w:sz w:val="21"/>
                <w:szCs w:val="21"/>
                <w:vertAlign w:val="baseline"/>
                <w:lang w:eastAsia="zh-CN"/>
              </w:rPr>
              <w:t>页：</w:t>
            </w:r>
          </w:p>
        </w:tc>
        <w:tc>
          <w:tcPr>
            <w:tcW w:w="6620" w:type="dxa"/>
            <w:vAlign w:val="center"/>
          </w:tcPr>
          <w:p>
            <w:pPr>
              <w:jc w:val="both"/>
              <w:rPr>
                <w:rFonts w:hint="eastAsia" w:eastAsia="宋体"/>
                <w:sz w:val="21"/>
                <w:szCs w:val="21"/>
                <w:vertAlign w:val="baseline"/>
                <w:lang w:val="en-US" w:eastAsia="zh-CN"/>
              </w:rPr>
            </w:pPr>
            <w:r>
              <w:rPr>
                <w:rFonts w:hint="eastAsia"/>
                <w:sz w:val="21"/>
                <w:szCs w:val="21"/>
              </w:rPr>
              <w:t xml:space="preserve">e0158325.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atLeast"/>
        </w:trPr>
        <w:tc>
          <w:tcPr>
            <w:tcW w:w="1580" w:type="dxa"/>
            <w:vAlign w:val="center"/>
          </w:tcPr>
          <w:p>
            <w:pPr>
              <w:jc w:val="right"/>
              <w:rPr>
                <w:rFonts w:hint="eastAsia" w:eastAsia="宋体"/>
                <w:sz w:val="21"/>
                <w:szCs w:val="21"/>
                <w:vertAlign w:val="baseline"/>
                <w:lang w:eastAsia="zh-CN"/>
              </w:rPr>
            </w:pPr>
            <w:r>
              <w:rPr>
                <w:rFonts w:hint="eastAsia"/>
                <w:sz w:val="21"/>
                <w:szCs w:val="21"/>
                <w:vertAlign w:val="baseline"/>
                <w:lang w:eastAsia="zh-CN"/>
              </w:rPr>
              <w:t>联系作者：</w:t>
            </w:r>
          </w:p>
        </w:tc>
        <w:tc>
          <w:tcPr>
            <w:tcW w:w="6620" w:type="dxa"/>
            <w:vAlign w:val="center"/>
          </w:tcPr>
          <w:p>
            <w:pPr>
              <w:jc w:val="both"/>
              <w:rPr>
                <w:rFonts w:hint="eastAsia" w:eastAsia="宋体"/>
                <w:sz w:val="21"/>
                <w:szCs w:val="21"/>
                <w:vertAlign w:val="baseline"/>
                <w:lang w:eastAsia="zh-CN"/>
              </w:rPr>
            </w:pPr>
            <w:r>
              <w:rPr>
                <w:rFonts w:hint="eastAsia"/>
                <w:sz w:val="21"/>
                <w:szCs w:val="21"/>
                <w:vertAlign w:val="baseline"/>
                <w:lang w:eastAsia="zh-CN"/>
              </w:rPr>
              <w:t>韩诗畴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atLeast"/>
        </w:trPr>
        <w:tc>
          <w:tcPr>
            <w:tcW w:w="1580" w:type="dxa"/>
            <w:vAlign w:val="center"/>
          </w:tcPr>
          <w:p>
            <w:pPr>
              <w:jc w:val="right"/>
              <w:rPr>
                <w:rFonts w:hint="eastAsia" w:eastAsia="宋体"/>
                <w:sz w:val="21"/>
                <w:szCs w:val="21"/>
                <w:vertAlign w:val="baseline"/>
                <w:lang w:eastAsia="zh-CN"/>
              </w:rPr>
            </w:pPr>
            <w:r>
              <w:rPr>
                <w:rFonts w:hint="eastAsia"/>
                <w:sz w:val="21"/>
                <w:szCs w:val="21"/>
                <w:vertAlign w:val="baseline"/>
                <w:lang w:eastAsia="zh-CN"/>
              </w:rPr>
              <w:t>发表期刊：</w:t>
            </w:r>
          </w:p>
        </w:tc>
        <w:tc>
          <w:tcPr>
            <w:tcW w:w="6620" w:type="dxa"/>
            <w:vAlign w:val="center"/>
          </w:tcPr>
          <w:p>
            <w:pPr>
              <w:jc w:val="both"/>
              <w:rPr>
                <w:b/>
                <w:bCs/>
                <w:sz w:val="21"/>
                <w:szCs w:val="21"/>
                <w:vertAlign w:val="baseline"/>
              </w:rPr>
            </w:pPr>
            <w:r>
              <w:rPr>
                <w:rFonts w:hint="eastAsia"/>
                <w:b/>
                <w:bCs/>
                <w:sz w:val="21"/>
                <w:szCs w:val="21"/>
              </w:rPr>
              <w:t xml:space="preserve">PLoSONE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atLeast"/>
        </w:trPr>
        <w:tc>
          <w:tcPr>
            <w:tcW w:w="1580" w:type="dxa"/>
            <w:vAlign w:val="center"/>
          </w:tcPr>
          <w:p>
            <w:pPr>
              <w:jc w:val="right"/>
              <w:rPr>
                <w:rFonts w:hint="eastAsia" w:eastAsia="宋体"/>
                <w:sz w:val="21"/>
                <w:szCs w:val="21"/>
                <w:vertAlign w:val="baseline"/>
                <w:lang w:eastAsia="zh-CN"/>
              </w:rPr>
            </w:pPr>
            <w:r>
              <w:rPr>
                <w:rFonts w:hint="eastAsia"/>
                <w:sz w:val="21"/>
                <w:szCs w:val="21"/>
                <w:vertAlign w:val="baseline"/>
                <w:lang w:eastAsia="zh-CN"/>
              </w:rPr>
              <w:t>原文链接：</w:t>
            </w:r>
          </w:p>
        </w:tc>
        <w:tc>
          <w:tcPr>
            <w:tcW w:w="6620" w:type="dxa"/>
            <w:vAlign w:val="center"/>
          </w:tcPr>
          <w:p>
            <w:pPr>
              <w:jc w:val="both"/>
              <w:rPr>
                <w:rFonts w:hint="eastAsia"/>
                <w:sz w:val="21"/>
                <w:szCs w:val="21"/>
              </w:rPr>
            </w:pPr>
            <w:r>
              <w:rPr>
                <w:rFonts w:hint="eastAsia"/>
                <w:sz w:val="21"/>
                <w:szCs w:val="21"/>
              </w:rPr>
              <w:fldChar w:fldCharType="begin"/>
            </w:r>
            <w:r>
              <w:rPr>
                <w:rFonts w:hint="eastAsia"/>
                <w:sz w:val="21"/>
                <w:szCs w:val="21"/>
              </w:rPr>
              <w:instrText xml:space="preserve"> HYPERLINK "http://journals.plos.org/plosone/article?id=10.1371/journal.pone.0158325" </w:instrText>
            </w:r>
            <w:r>
              <w:rPr>
                <w:rFonts w:hint="eastAsia"/>
                <w:sz w:val="21"/>
                <w:szCs w:val="21"/>
              </w:rPr>
              <w:fldChar w:fldCharType="separate"/>
            </w:r>
            <w:r>
              <w:rPr>
                <w:rStyle w:val="5"/>
                <w:rFonts w:hint="eastAsia"/>
                <w:sz w:val="21"/>
                <w:szCs w:val="21"/>
              </w:rPr>
              <w:t>http://journals.plos.org/plosone/article?id=10.1371/journal.pone.0158325</w:t>
            </w:r>
            <w:r>
              <w:rPr>
                <w:rFonts w:hint="eastAsia"/>
                <w:sz w:val="21"/>
                <w:szCs w:val="21"/>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29" w:hRule="atLeast"/>
        </w:trPr>
        <w:tc>
          <w:tcPr>
            <w:tcW w:w="1580" w:type="dxa"/>
            <w:vAlign w:val="center"/>
          </w:tcPr>
          <w:p>
            <w:pPr>
              <w:jc w:val="right"/>
              <w:rPr>
                <w:rFonts w:hint="eastAsia" w:eastAsia="宋体"/>
                <w:sz w:val="21"/>
                <w:szCs w:val="21"/>
                <w:vertAlign w:val="baseline"/>
                <w:lang w:eastAsia="zh-CN"/>
              </w:rPr>
            </w:pPr>
            <w:r>
              <w:rPr>
                <w:rFonts w:hint="eastAsia"/>
                <w:sz w:val="21"/>
                <w:szCs w:val="21"/>
                <w:vertAlign w:val="baseline"/>
                <w:lang w:eastAsia="zh-CN"/>
              </w:rPr>
              <w:t>摘要：</w:t>
            </w:r>
          </w:p>
        </w:tc>
        <w:tc>
          <w:tcPr>
            <w:tcW w:w="6620" w:type="dxa"/>
            <w:vAlign w:val="center"/>
          </w:tcPr>
          <w:p>
            <w:pPr>
              <w:jc w:val="both"/>
              <w:rPr>
                <w:sz w:val="21"/>
                <w:szCs w:val="21"/>
                <w:vertAlign w:val="baseline"/>
              </w:rPr>
            </w:pPr>
            <w:r>
              <w:rPr>
                <w:rFonts w:hint="eastAsia"/>
                <w:sz w:val="21"/>
                <w:szCs w:val="21"/>
              </w:rPr>
              <w:t>Solenopsis invicta Buren is one of the most important pests in China, and control measures are mainly based on the use of synthetic pesticides, which may be inadequate and unsustainable. Hence, there is a growing interest in developing biological control alternatives for managing S. invicta, such as the use of entomopathogenic fungi. To facilitate the commercialization of entomopathogenic fungi against S. invicta, 10 Beauveria bassiana isolates originating from different hosts were tested for virulence in laboratory bioassays, and the most pathogenic strain, ZGNKY-5, was tested in field studies using an improved pathogen delivery system. The cumulative mortality rate reached 93.40% at 1×108 mL-1 conidia after 504 h. The germination and invasion of the spores were observed under a scanning electron microscope, and several conidia adhered to the cuticle of S. invicta after 2 h. Furthermore, the germ tubes of the conidia oriented toward the cuticle after 48 h, and the mycelium colonized the entire body after 96 h. Based on the efficacy observed in the laboratory trials, further experiments were performed with ZGNKY-5 strain to evaluate its utility in an injection control technology against S. invicta in the field. We found that three dosage treatments of ZGNKY-5 strain (500 mL, 750 mL, and 1,000 mL per nest) had significant control effects. Our results show that this strain of Beauveria bassiana and our control method were effective against S. invicta in both laboratory and field settings.</w:t>
            </w:r>
          </w:p>
        </w:tc>
      </w:tr>
    </w:tbl>
    <w:p>
      <w:pPr>
        <w:jc w:val="right"/>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AdobeSongStd-Light">
    <w:altName w:val="hakuyoxingshu7000"/>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hakuyoxingshu7000">
    <w:panose1 w:val="02000600000000000000"/>
    <w:charset w:val="86"/>
    <w:family w:val="auto"/>
    <w:pitch w:val="default"/>
    <w:sig w:usb0="FFFFFFFF" w:usb1="E9FFFFFF" w:usb2="0000003F" w:usb3="00000000" w:csb0="603F00FF" w:csb1="FFFF0000"/>
  </w:font>
  <w:font w:name="Arial">
    <w:panose1 w:val="020B0604020202020204"/>
    <w:charset w:val="00"/>
    <w:family w:val="auto"/>
    <w:pitch w:val="default"/>
    <w:sig w:usb0="E0002AFF" w:usb1="C0007843" w:usb2="00000009" w:usb3="00000000" w:csb0="400001FF" w:csb1="FFFF0000"/>
  </w:font>
  <w:font w:name="仿宋_GB2312">
    <w:altName w:val="仿宋"/>
    <w:panose1 w:val="00000000000000000000"/>
    <w:charset w:val="86"/>
    <w:family w:val="modern"/>
    <w:pitch w:val="default"/>
    <w:sig w:usb0="00000000" w:usb1="00000000" w:usb2="00000000" w:usb3="00000000" w:csb0="00040000" w:csb1="00000000"/>
  </w:font>
  <w:font w:name="DLF-32769-4-1908480264+ZKWH81-9">
    <w:altName w:val="黑体"/>
    <w:panose1 w:val="00000000000000000000"/>
    <w:charset w:val="86"/>
    <w:family w:val="auto"/>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CCC4E94"/>
    <w:rsid w:val="19E62CD2"/>
    <w:rsid w:val="205A4A08"/>
    <w:rsid w:val="237265CB"/>
    <w:rsid w:val="2B536466"/>
    <w:rsid w:val="2C10646C"/>
    <w:rsid w:val="2EBF311D"/>
    <w:rsid w:val="473543B1"/>
    <w:rsid w:val="4EE87368"/>
    <w:rsid w:val="51F22F85"/>
    <w:rsid w:val="54CA4BEE"/>
    <w:rsid w:val="699F7B23"/>
    <w:rsid w:val="6E162B39"/>
    <w:rsid w:val="6EFA6321"/>
    <w:rsid w:val="6F7417B0"/>
    <w:rsid w:val="72D9790F"/>
    <w:rsid w:val="77224EC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heme="minorBidi"/>
      <w:kern w:val="2"/>
      <w:sz w:val="18"/>
      <w:szCs w:val="21"/>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rFonts w:ascii="Times New Roman" w:hAnsi="Times New Roman" w:eastAsia="黑体"/>
      <w:kern w:val="44"/>
      <w:sz w:val="44"/>
      <w:szCs w:val="21"/>
    </w:rPr>
  </w:style>
  <w:style w:type="character" w:default="1" w:styleId="3">
    <w:name w:val="Default Paragraph Font"/>
    <w:semiHidden/>
    <w:qFormat/>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character" w:styleId="4">
    <w:name w:val="FollowedHyperlink"/>
    <w:basedOn w:val="3"/>
    <w:uiPriority w:val="0"/>
    <w:rPr>
      <w:color w:val="800080"/>
      <w:u w:val="single"/>
    </w:rPr>
  </w:style>
  <w:style w:type="character" w:styleId="5">
    <w:name w:val="Hyperlink"/>
    <w:basedOn w:val="3"/>
    <w:uiPriority w:val="0"/>
    <w:rPr>
      <w:color w:val="0000FF"/>
      <w:u w:val="single"/>
    </w:rPr>
  </w:style>
  <w:style w:type="table" w:styleId="7">
    <w:name w:val="Table Grid"/>
    <w:basedOn w:val="6"/>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8">
    <w:name w:val="样式1作者"/>
    <w:basedOn w:val="1"/>
    <w:qFormat/>
    <w:uiPriority w:val="0"/>
    <w:rPr>
      <w:rFonts w:ascii="Times New Roman" w:hAnsi="Times New Roman" w:eastAsia="楷体"/>
      <w:sz w:val="28"/>
      <w:szCs w:val="21"/>
    </w:rPr>
  </w:style>
  <w:style w:type="paragraph" w:customStyle="1" w:styleId="9">
    <w:name w:val="样式2地址"/>
    <w:basedOn w:val="1"/>
    <w:qFormat/>
    <w:uiPriority w:val="0"/>
    <w:rPr>
      <w:rFonts w:ascii="Times New Roman" w:hAnsi="Times New Roman" w:eastAsia="宋体"/>
      <w:sz w:val="15"/>
      <w:szCs w:val="21"/>
    </w:rPr>
  </w:style>
  <w:style w:type="paragraph" w:customStyle="1" w:styleId="10">
    <w:name w:val="文章标题"/>
    <w:basedOn w:val="1"/>
    <w:qFormat/>
    <w:uiPriority w:val="0"/>
    <w:pPr>
      <w:spacing w:line="360" w:lineRule="auto"/>
    </w:pPr>
    <w:rPr>
      <w:rFonts w:eastAsia="黑体" w:cs="Times New Roman"/>
      <w:sz w:val="44"/>
      <w:szCs w:val="24"/>
    </w:rPr>
  </w:style>
  <w:style w:type="paragraph" w:customStyle="1" w:styleId="11">
    <w:name w:val="作者名字"/>
    <w:basedOn w:val="1"/>
    <w:uiPriority w:val="0"/>
    <w:pPr>
      <w:spacing w:line="360" w:lineRule="auto"/>
    </w:pPr>
    <w:rPr>
      <w:rFonts w:ascii="Times New Roman" w:eastAsia="楷体" w:cs="Times New Roman"/>
      <w:sz w:val="28"/>
      <w:szCs w:val="24"/>
    </w:rPr>
  </w:style>
  <w:style w:type="paragraph" w:customStyle="1" w:styleId="12">
    <w:name w:val="地址邮编"/>
    <w:basedOn w:val="1"/>
    <w:uiPriority w:val="0"/>
    <w:pPr>
      <w:spacing w:line="360" w:lineRule="auto"/>
    </w:pPr>
    <w:rPr>
      <w:rFonts w:ascii="Times New Roman" w:cs="Times New Roman"/>
      <w:sz w:val="15"/>
      <w:szCs w:val="24"/>
    </w:rPr>
  </w:style>
  <w:style w:type="paragraph" w:customStyle="1" w:styleId="13">
    <w:name w:val="文章内容"/>
    <w:basedOn w:val="1"/>
    <w:qFormat/>
    <w:uiPriority w:val="0"/>
    <w:pPr>
      <w:spacing w:line="360" w:lineRule="auto"/>
    </w:pPr>
    <w:rPr>
      <w:rFonts w:cs="Times New Roman"/>
      <w:sz w:val="18"/>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Kingsoft</Company>
  <Pages>1</Pages>
  <Words>0</Words>
  <Characters>0</Characters>
  <Lines>0</Lines>
  <Paragraphs>0</Paragraphs>
  <ScaleCrop>false</ScaleCrop>
  <LinksUpToDate>false</LinksUpToDate>
  <CharactersWithSpaces>0</CharactersWithSpaces>
  <Application>WPS Office_10.1.0.6554_F1E327BC-269C-435d-A152-05C5408002CA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zhaoxinlei</dc:creator>
  <cp:lastModifiedBy>Administrator</cp:lastModifiedBy>
  <dcterms:modified xsi:type="dcterms:W3CDTF">2017-07-04T07:07:28Z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2052-10.1.0.6554</vt:lpwstr>
  </property>
</Properties>
</file>