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200"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0"/>
        <w:gridCol w:w="6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论文题目：</w:t>
            </w:r>
          </w:p>
        </w:tc>
        <w:tc>
          <w:tcPr>
            <w:tcW w:w="6620" w:type="dxa"/>
            <w:vAlign w:val="center"/>
          </w:tcPr>
          <w:p>
            <w:pPr>
              <w:jc w:val="both"/>
              <w:rPr>
                <w:b/>
                <w:bCs/>
                <w:sz w:val="21"/>
                <w:szCs w:val="21"/>
                <w:vertAlign w:val="baseline"/>
              </w:rPr>
            </w:pPr>
            <w:r>
              <w:rPr>
                <w:rFonts w:hint="eastAsia"/>
                <w:b/>
                <w:bCs/>
                <w:sz w:val="21"/>
                <w:szCs w:val="21"/>
              </w:rPr>
              <w:t>"Evaluation of the effectiveness of</w:t>
            </w:r>
            <w:r>
              <w:rPr>
                <w:rFonts w:hint="eastAsia"/>
                <w:b/>
                <w:bCs/>
                <w:sz w:val="21"/>
                <w:szCs w:val="21"/>
                <w:lang w:val="en-US" w:eastAsia="zh-CN"/>
              </w:rPr>
              <w:t xml:space="preserve"> </w:t>
            </w:r>
            <w:r>
              <w:rPr>
                <w:rFonts w:hint="eastAsia"/>
                <w:b/>
                <w:bCs/>
                <w:sz w:val="21"/>
                <w:szCs w:val="21"/>
              </w:rPr>
              <w:t>insecticide trunk injections for control</w:t>
            </w:r>
            <w:r>
              <w:rPr>
                <w:rFonts w:hint="eastAsia"/>
                <w:b/>
                <w:bCs/>
                <w:sz w:val="21"/>
                <w:szCs w:val="21"/>
                <w:lang w:val="en-US" w:eastAsia="zh-CN"/>
              </w:rPr>
              <w:t xml:space="preserve"> </w:t>
            </w:r>
            <w:r>
              <w:rPr>
                <w:rFonts w:hint="eastAsia"/>
                <w:b/>
                <w:bCs/>
                <w:sz w:val="21"/>
                <w:szCs w:val="21"/>
              </w:rPr>
              <w:t>of Latoia lepida (Cramer) in the sweet</w:t>
            </w:r>
            <w:r>
              <w:rPr>
                <w:rFonts w:hint="eastAsia"/>
                <w:b/>
                <w:bCs/>
                <w:sz w:val="21"/>
                <w:szCs w:val="21"/>
                <w:lang w:val="en-US" w:eastAsia="zh-CN"/>
              </w:rPr>
              <w:t xml:space="preserve"> </w:t>
            </w:r>
            <w:r>
              <w:rPr>
                <w:rFonts w:hint="eastAsia"/>
                <w:b/>
                <w:bCs/>
                <w:sz w:val="21"/>
                <w:szCs w:val="21"/>
              </w:rPr>
              <w:t>olive tree Osmanthus fragrans"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作者：</w:t>
            </w:r>
          </w:p>
        </w:tc>
        <w:tc>
          <w:tcPr>
            <w:tcW w:w="6620" w:type="dxa"/>
            <w:vAlign w:val="center"/>
          </w:tcPr>
          <w:p>
            <w:pPr>
              <w:jc w:val="both"/>
              <w:rPr>
                <w:sz w:val="21"/>
                <w:szCs w:val="21"/>
                <w:vertAlign w:val="baseline"/>
              </w:rPr>
            </w:pPr>
            <w:r>
              <w:rPr>
                <w:rFonts w:hint="eastAsia"/>
                <w:sz w:val="21"/>
                <w:szCs w:val="21"/>
              </w:rPr>
              <w:t>Huang J＃, Zhang J＃,Li Y＃, Li J *</w:t>
            </w:r>
            <w:bookmarkStart w:id="0" w:name="_GoBack"/>
            <w:bookmarkEnd w:id="0"/>
            <w:r>
              <w:rPr>
                <w:rFonts w:hint="eastAsia"/>
                <w:sz w:val="21"/>
                <w:szCs w:val="21"/>
              </w:rPr>
              <w:t>, Shi XH＃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年：</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卷：</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页：</w:t>
            </w:r>
          </w:p>
        </w:tc>
        <w:tc>
          <w:tcPr>
            <w:tcW w:w="6620" w:type="dxa"/>
            <w:vAlign w:val="center"/>
          </w:tcPr>
          <w:p>
            <w:pPr>
              <w:jc w:val="both"/>
              <w:rPr>
                <w:rFonts w:hint="eastAsia" w:eastAsia="宋体"/>
                <w:sz w:val="21"/>
                <w:szCs w:val="21"/>
                <w:vertAlign w:val="baseline"/>
                <w:lang w:val="en-US" w:eastAsia="zh-CN"/>
              </w:rPr>
            </w:pPr>
            <w:r>
              <w:rPr>
                <w:rFonts w:hint="eastAsia"/>
                <w:sz w:val="21"/>
                <w:szCs w:val="21"/>
              </w:rPr>
              <w:t>e2480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联系作者：</w:t>
            </w:r>
          </w:p>
        </w:tc>
        <w:tc>
          <w:tcPr>
            <w:tcW w:w="6620" w:type="dxa"/>
            <w:vAlign w:val="center"/>
          </w:tcPr>
          <w:p>
            <w:pPr>
              <w:jc w:val="both"/>
              <w:rPr>
                <w:rFonts w:hint="eastAsia" w:eastAsia="宋体"/>
                <w:sz w:val="21"/>
                <w:szCs w:val="21"/>
                <w:vertAlign w:val="baseline"/>
                <w:lang w:eastAsia="zh-CN"/>
              </w:rPr>
            </w:pPr>
            <w:r>
              <w:rPr>
                <w:rFonts w:hint="eastAsia"/>
                <w:sz w:val="21"/>
                <w:szCs w:val="21"/>
                <w:vertAlign w:val="baseline"/>
                <w:lang w:eastAsia="zh-CN"/>
              </w:rPr>
              <w:t>李军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发表期刊：</w:t>
            </w:r>
          </w:p>
        </w:tc>
        <w:tc>
          <w:tcPr>
            <w:tcW w:w="6620" w:type="dxa"/>
            <w:vAlign w:val="center"/>
          </w:tcPr>
          <w:p>
            <w:pPr>
              <w:jc w:val="both"/>
              <w:rPr>
                <w:b/>
                <w:bCs/>
                <w:sz w:val="21"/>
                <w:szCs w:val="21"/>
                <w:vertAlign w:val="baseline"/>
              </w:rPr>
            </w:pPr>
            <w:r>
              <w:rPr>
                <w:rFonts w:hint="eastAsia"/>
                <w:b/>
                <w:bCs/>
                <w:sz w:val="21"/>
                <w:szCs w:val="21"/>
              </w:rPr>
              <w:t xml:space="preserve">PeerJ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原文链接：</w:t>
            </w:r>
          </w:p>
        </w:tc>
        <w:tc>
          <w:tcPr>
            <w:tcW w:w="6620" w:type="dxa"/>
            <w:vAlign w:val="center"/>
          </w:tcPr>
          <w:p>
            <w:pPr>
              <w:jc w:val="both"/>
              <w:rPr>
                <w:rFonts w:hint="eastAsia"/>
                <w:sz w:val="21"/>
                <w:szCs w:val="21"/>
              </w:rPr>
            </w:pPr>
            <w:r>
              <w:rPr>
                <w:rFonts w:hint="eastAsia"/>
                <w:sz w:val="21"/>
                <w:szCs w:val="21"/>
              </w:rPr>
              <w:fldChar w:fldCharType="begin"/>
            </w:r>
            <w:r>
              <w:rPr>
                <w:rFonts w:hint="eastAsia"/>
                <w:sz w:val="21"/>
                <w:szCs w:val="21"/>
              </w:rPr>
              <w:instrText xml:space="preserve"> HYPERLINK "https://peerj.com/articles/2480/?utm_source=TrendMD&amp;utm_campaign=PeerJ_TrendMD_0&amp;utm_medium=TrendMD" </w:instrText>
            </w:r>
            <w:r>
              <w:rPr>
                <w:rFonts w:hint="eastAsia"/>
                <w:sz w:val="21"/>
                <w:szCs w:val="21"/>
              </w:rPr>
              <w:fldChar w:fldCharType="separate"/>
            </w:r>
            <w:r>
              <w:rPr>
                <w:rStyle w:val="5"/>
                <w:rFonts w:hint="eastAsia"/>
                <w:sz w:val="21"/>
                <w:szCs w:val="21"/>
              </w:rPr>
              <w:t>https://peerj.com/articles/2480/?utm_source=TrendMD&amp;utm_campaign=PeerJ_TrendMD_0&amp;utm_medium=TrendMD</w:t>
            </w:r>
            <w:r>
              <w:rPr>
                <w:rFonts w:hint="eastAsia"/>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9"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摘要：</w:t>
            </w:r>
          </w:p>
        </w:tc>
        <w:tc>
          <w:tcPr>
            <w:tcW w:w="6620" w:type="dxa"/>
            <w:vAlign w:val="center"/>
          </w:tcPr>
          <w:p>
            <w:pPr>
              <w:jc w:val="both"/>
              <w:rPr>
                <w:sz w:val="21"/>
                <w:szCs w:val="21"/>
                <w:vertAlign w:val="baseline"/>
              </w:rPr>
            </w:pPr>
            <w:r>
              <w:rPr>
                <w:rFonts w:hint="eastAsia"/>
                <w:sz w:val="21"/>
                <w:szCs w:val="21"/>
                <w:lang w:val="en-US" w:eastAsia="zh-CN"/>
              </w:rPr>
              <w:t>T</w:t>
            </w:r>
            <w:r>
              <w:rPr>
                <w:rFonts w:hint="eastAsia"/>
                <w:sz w:val="21"/>
                <w:szCs w:val="21"/>
              </w:rPr>
              <w:t>he screening of suitable insecticides is a key factor in successfully applying trunk injection technology to ornamental plants. In this study, six chemical pesticides were selected and injected into the trunks of Osmanthus fragrans to control the nettle caterpillar, Latoia lepida (Lepidoptera: Limacodidae), using a no-pressure injection system. The absorption rate of the insecticides, the leaf loss due to insect damage, and the mortality and frass amount of L. lepida larvae were evaluated after 77 and 429 days. The results showed that 4% imidacloprid + carbosulfan and 21% abamectin + imidacloprid + omethoate had the fastest conductivity and were completely absorbed into the trunkswithin14 days; however, the efficiencies of these insecticides in controlling L. lepidawere extremely low. Additionally, the treatment 10% emamectin benzoate + clothianidin and 2.5% emamectin benzoate was almost completely absorbed within 30 days and exhibited a longer duration of insecticide efficiency (&gt;80% mortality) in the upper and lower leaves of the canopy. Treatment with these insecticides also resulted in significantly lower leaf loss and frass amounts. We conclude that emamectin benzoate and emamectin benzoate + clothianidin have a rapid uptake into O. fragrans, and are effective as insecticides over long durations. Hence, they may be a suitable control option for L. lepida in O. fragrans plants.</w:t>
            </w:r>
          </w:p>
        </w:tc>
      </w:tr>
    </w:tbl>
    <w:p>
      <w:pPr>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dobeSongStd-Light">
    <w:altName w:val="hakuyoxingshu7000"/>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DLF-32769-4-1908480264+ZKWH81-9">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CCC4E94"/>
    <w:rsid w:val="19E62CD2"/>
    <w:rsid w:val="205A4A08"/>
    <w:rsid w:val="237265CB"/>
    <w:rsid w:val="2B536466"/>
    <w:rsid w:val="2C10646C"/>
    <w:rsid w:val="2EBF311D"/>
    <w:rsid w:val="367B6C0F"/>
    <w:rsid w:val="473543B1"/>
    <w:rsid w:val="4EE87368"/>
    <w:rsid w:val="51F22F85"/>
    <w:rsid w:val="54CA4BEE"/>
    <w:rsid w:val="699F7B23"/>
    <w:rsid w:val="6E162B39"/>
    <w:rsid w:val="6EFA6321"/>
    <w:rsid w:val="6F7417B0"/>
    <w:rsid w:val="72D9790F"/>
    <w:rsid w:val="77224EC0"/>
    <w:rsid w:val="7B041A2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18"/>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imes New Roman" w:hAnsi="Times New Roman" w:eastAsia="黑体"/>
      <w:kern w:val="44"/>
      <w:sz w:val="44"/>
      <w:szCs w:val="21"/>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styleId="4">
    <w:name w:val="FollowedHyperlink"/>
    <w:basedOn w:val="3"/>
    <w:uiPriority w:val="0"/>
    <w:rPr>
      <w:color w:val="800080"/>
      <w:u w:val="single"/>
    </w:rPr>
  </w:style>
  <w:style w:type="character" w:styleId="5">
    <w:name w:val="Hyperlink"/>
    <w:basedOn w:val="3"/>
    <w:uiPriority w:val="0"/>
    <w:rPr>
      <w:color w:val="0000FF"/>
      <w:u w:val="single"/>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样式1作者"/>
    <w:basedOn w:val="1"/>
    <w:qFormat/>
    <w:uiPriority w:val="0"/>
    <w:rPr>
      <w:rFonts w:ascii="Times New Roman" w:hAnsi="Times New Roman" w:eastAsia="楷体"/>
      <w:sz w:val="28"/>
      <w:szCs w:val="21"/>
    </w:rPr>
  </w:style>
  <w:style w:type="paragraph" w:customStyle="1" w:styleId="9">
    <w:name w:val="样式2地址"/>
    <w:basedOn w:val="1"/>
    <w:qFormat/>
    <w:uiPriority w:val="0"/>
    <w:rPr>
      <w:rFonts w:ascii="Times New Roman" w:hAnsi="Times New Roman" w:eastAsia="宋体"/>
      <w:sz w:val="15"/>
      <w:szCs w:val="21"/>
    </w:rPr>
  </w:style>
  <w:style w:type="paragraph" w:customStyle="1" w:styleId="10">
    <w:name w:val="文章标题"/>
    <w:basedOn w:val="1"/>
    <w:qFormat/>
    <w:uiPriority w:val="0"/>
    <w:pPr>
      <w:spacing w:line="360" w:lineRule="auto"/>
    </w:pPr>
    <w:rPr>
      <w:rFonts w:eastAsia="黑体" w:cs="Times New Roman"/>
      <w:sz w:val="44"/>
      <w:szCs w:val="24"/>
    </w:rPr>
  </w:style>
  <w:style w:type="paragraph" w:customStyle="1" w:styleId="11">
    <w:name w:val="作者名字"/>
    <w:basedOn w:val="1"/>
    <w:uiPriority w:val="0"/>
    <w:pPr>
      <w:spacing w:line="360" w:lineRule="auto"/>
    </w:pPr>
    <w:rPr>
      <w:rFonts w:ascii="Times New Roman" w:eastAsia="楷体" w:cs="Times New Roman"/>
      <w:sz w:val="28"/>
      <w:szCs w:val="24"/>
    </w:rPr>
  </w:style>
  <w:style w:type="paragraph" w:customStyle="1" w:styleId="12">
    <w:name w:val="地址邮编"/>
    <w:basedOn w:val="1"/>
    <w:uiPriority w:val="0"/>
    <w:pPr>
      <w:spacing w:line="360" w:lineRule="auto"/>
    </w:pPr>
    <w:rPr>
      <w:rFonts w:ascii="Times New Roman" w:cs="Times New Roman"/>
      <w:sz w:val="15"/>
      <w:szCs w:val="24"/>
    </w:rPr>
  </w:style>
  <w:style w:type="paragraph" w:customStyle="1" w:styleId="13">
    <w:name w:val="文章内容"/>
    <w:basedOn w:val="1"/>
    <w:qFormat/>
    <w:uiPriority w:val="0"/>
    <w:pPr>
      <w:spacing w:line="360" w:lineRule="auto"/>
    </w:pPr>
    <w:rPr>
      <w:rFonts w:cs="Times New Roman"/>
      <w:sz w:val="1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Administrator</cp:lastModifiedBy>
  <dcterms:modified xsi:type="dcterms:W3CDTF">2017-07-04T07:19:09Z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