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200"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0"/>
        <w:gridCol w:w="6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论文题目：</w:t>
            </w:r>
          </w:p>
        </w:tc>
        <w:tc>
          <w:tcPr>
            <w:tcW w:w="6620" w:type="dxa"/>
            <w:vAlign w:val="center"/>
          </w:tcPr>
          <w:p>
            <w:pPr>
              <w:jc w:val="both"/>
              <w:rPr>
                <w:b/>
                <w:bCs/>
                <w:sz w:val="21"/>
                <w:szCs w:val="21"/>
                <w:vertAlign w:val="baseline"/>
              </w:rPr>
            </w:pPr>
            <w:r>
              <w:rPr>
                <w:rFonts w:hint="eastAsia"/>
                <w:b/>
                <w:bCs/>
                <w:sz w:val="21"/>
                <w:szCs w:val="21"/>
              </w:rPr>
              <w:t>Disruption of</w:t>
            </w:r>
            <w:bookmarkStart w:id="0" w:name="_GoBack"/>
            <w:bookmarkEnd w:id="0"/>
            <w:r>
              <w:rPr>
                <w:rFonts w:hint="eastAsia"/>
                <w:b/>
                <w:bCs/>
                <w:sz w:val="21"/>
                <w:szCs w:val="21"/>
              </w:rPr>
              <w:t xml:space="preserve"> Coptotermes formosanus (Isoptera: Rhinotermitidae) gut microbiota reproduction and its consequences for the cellulolytic system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作者：</w:t>
            </w:r>
          </w:p>
        </w:tc>
        <w:tc>
          <w:tcPr>
            <w:tcW w:w="6620" w:type="dxa"/>
            <w:vAlign w:val="center"/>
          </w:tcPr>
          <w:p>
            <w:pPr>
              <w:jc w:val="both"/>
              <w:rPr>
                <w:sz w:val="21"/>
                <w:szCs w:val="21"/>
                <w:vertAlign w:val="baseline"/>
              </w:rPr>
            </w:pPr>
            <w:r>
              <w:rPr>
                <w:rFonts w:hint="eastAsia"/>
                <w:sz w:val="21"/>
                <w:szCs w:val="21"/>
              </w:rPr>
              <w:t>Zeng WH, Li ZQ, Liu BR, Li QJ, Zhong JH*(钟俊鸿).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年：</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卷：</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页：</w:t>
            </w:r>
          </w:p>
        </w:tc>
        <w:tc>
          <w:tcPr>
            <w:tcW w:w="6620" w:type="dxa"/>
            <w:vAlign w:val="center"/>
          </w:tcPr>
          <w:p>
            <w:pPr>
              <w:jc w:val="both"/>
              <w:rPr>
                <w:rFonts w:hint="eastAsia" w:eastAsia="宋体"/>
                <w:sz w:val="21"/>
                <w:szCs w:val="21"/>
                <w:vertAlign w:val="baseline"/>
                <w:lang w:val="en-US" w:eastAsia="zh-CN"/>
              </w:rPr>
            </w:pPr>
            <w:r>
              <w:rPr>
                <w:rFonts w:hint="eastAsia"/>
                <w:sz w:val="21"/>
                <w:szCs w:val="21"/>
                <w:lang w:val="en-US" w:eastAsia="zh-CN"/>
              </w:rPr>
              <w:t>138-150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联系作者：</w:t>
            </w:r>
          </w:p>
        </w:tc>
        <w:tc>
          <w:tcPr>
            <w:tcW w:w="6620" w:type="dxa"/>
            <w:vAlign w:val="center"/>
          </w:tcPr>
          <w:p>
            <w:pPr>
              <w:jc w:val="both"/>
              <w:rPr>
                <w:rFonts w:hint="eastAsia" w:eastAsia="宋体"/>
                <w:sz w:val="21"/>
                <w:szCs w:val="21"/>
                <w:vertAlign w:val="baseline"/>
                <w:lang w:eastAsia="zh-CN"/>
              </w:rPr>
            </w:pPr>
            <w:r>
              <w:rPr>
                <w:rFonts w:hint="eastAsia"/>
                <w:sz w:val="21"/>
                <w:szCs w:val="21"/>
                <w:vertAlign w:val="baseline"/>
                <w:lang w:eastAsia="zh-CN"/>
              </w:rPr>
              <w:t>钟俊鸿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发表期刊：</w:t>
            </w:r>
          </w:p>
        </w:tc>
        <w:tc>
          <w:tcPr>
            <w:tcW w:w="6620" w:type="dxa"/>
            <w:vAlign w:val="center"/>
          </w:tcPr>
          <w:p>
            <w:pPr>
              <w:jc w:val="both"/>
              <w:rPr>
                <w:b/>
                <w:bCs/>
                <w:sz w:val="21"/>
                <w:szCs w:val="21"/>
                <w:vertAlign w:val="baseline"/>
              </w:rPr>
            </w:pPr>
            <w:r>
              <w:rPr>
                <w:rFonts w:hint="eastAsia"/>
                <w:b/>
                <w:bCs/>
                <w:sz w:val="21"/>
                <w:szCs w:val="21"/>
              </w:rPr>
              <w:t>Journal of Entomological Science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原文链接：</w:t>
            </w:r>
          </w:p>
        </w:tc>
        <w:tc>
          <w:tcPr>
            <w:tcW w:w="6620" w:type="dxa"/>
            <w:vAlign w:val="center"/>
          </w:tcPr>
          <w:p>
            <w:pPr>
              <w:jc w:val="both"/>
              <w:rPr>
                <w:rFonts w:hint="eastAsia"/>
                <w:sz w:val="21"/>
                <w:szCs w:val="21"/>
              </w:rPr>
            </w:pPr>
            <w:r>
              <w:rPr>
                <w:rFonts w:hint="eastAsia"/>
                <w:sz w:val="21"/>
                <w:szCs w:val="21"/>
              </w:rPr>
              <w:fldChar w:fldCharType="begin"/>
            </w:r>
            <w:r>
              <w:rPr>
                <w:rFonts w:hint="eastAsia"/>
                <w:sz w:val="21"/>
                <w:szCs w:val="21"/>
              </w:rPr>
              <w:instrText xml:space="preserve"> HYPERLINK "http://www.bioone.org/doi/abs/10.18474/JES15-28.1" </w:instrText>
            </w:r>
            <w:r>
              <w:rPr>
                <w:rFonts w:hint="eastAsia"/>
                <w:sz w:val="21"/>
                <w:szCs w:val="21"/>
              </w:rPr>
              <w:fldChar w:fldCharType="separate"/>
            </w:r>
            <w:r>
              <w:rPr>
                <w:rStyle w:val="5"/>
                <w:rFonts w:hint="eastAsia"/>
                <w:sz w:val="21"/>
                <w:szCs w:val="21"/>
              </w:rPr>
              <w:t>http://www.bioone.org/doi/abs/10.18474/JES15-28.1</w:t>
            </w:r>
            <w:r>
              <w:rPr>
                <w:rFonts w:hint="eastAsia"/>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9"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摘要：</w:t>
            </w:r>
          </w:p>
        </w:tc>
        <w:tc>
          <w:tcPr>
            <w:tcW w:w="6620" w:type="dxa"/>
            <w:vAlign w:val="center"/>
          </w:tcPr>
          <w:p>
            <w:pPr>
              <w:jc w:val="both"/>
              <w:rPr>
                <w:sz w:val="21"/>
                <w:szCs w:val="21"/>
                <w:vertAlign w:val="baseline"/>
              </w:rPr>
            </w:pPr>
            <w:r>
              <w:rPr>
                <w:rFonts w:hint="eastAsia"/>
                <w:sz w:val="21"/>
                <w:szCs w:val="21"/>
              </w:rPr>
              <w:t>In this study, we eliminated the microbiota of the gut of Coptotermes formosanus Shiraki (Isoptera: Rhinotermitidae) via starvation. We then compared the initial responses of the cellulase system and symbiotic reproduction in termites fed filter paper treated with either antimicrobials or distilled water. Three key findings were as follows: (a) an antibiotic mixture of ampicillin and kanamycin significantly depressed reproduction of Holomastigotoides mirabile Koidzumi and Spirotrichonympha leidyi Koidzumi but promoted reproduction of Pseudotrichonympha grassii Koidzumi during 12 to 48 h of feeding, (b) the enzyme activity levels of three cellulases did not correspond to the respective protozoan levels and did not vary directly with the numeric increase of protozoa in either treatment, and (c) in the antibiotics treatment, β-glucosidase (BG, 0–48 h) and cellobiohydrolase (CBH, 0–12 h) activity levels between endogenous (salivary gland/foregut and midgut) and exogenous (hindgut) origin were negatively correlated. Both the activity level (6–48 h) and expression amounts (6–12 h) of endogenous endo-β-1, 4-glucanase was significantly higher in antibiotics treatment. Before initiation of feeding (0 h), BG and CBH activities had relative maximum levels when the protozoa population was at its minimum. These findings suggest that C. formosanus possesses an endogenous compensation mechanism which functions when the symbiotic cellulolytic system is impaired.</w:t>
            </w:r>
          </w:p>
        </w:tc>
      </w:tr>
    </w:tbl>
    <w:p>
      <w:pPr>
        <w:jc w:val="righ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dobeSongStd-Light">
    <w:altName w:val="hakuyoxingshu7000"/>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hakuyoxingshu7000">
    <w:panose1 w:val="02000600000000000000"/>
    <w:charset w:val="86"/>
    <w:family w:val="auto"/>
    <w:pitch w:val="default"/>
    <w:sig w:usb0="FFFFFFFF" w:usb1="E9FFFFFF" w:usb2="0000003F" w:usb3="00000000" w:csb0="603F00FF" w:csb1="FFFF0000"/>
  </w:font>
  <w:font w:name="Arial">
    <w:panose1 w:val="020B0604020202020204"/>
    <w:charset w:val="00"/>
    <w:family w:val="auto"/>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DLF-32769-4-1908480264+ZKWH81-9">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CCC4E94"/>
    <w:rsid w:val="19E62CD2"/>
    <w:rsid w:val="205A4A08"/>
    <w:rsid w:val="237265CB"/>
    <w:rsid w:val="2B536466"/>
    <w:rsid w:val="2C10646C"/>
    <w:rsid w:val="2EBF311D"/>
    <w:rsid w:val="367B6C0F"/>
    <w:rsid w:val="473543B1"/>
    <w:rsid w:val="4EE87368"/>
    <w:rsid w:val="51F22F85"/>
    <w:rsid w:val="54CA4BEE"/>
    <w:rsid w:val="5B3D62CE"/>
    <w:rsid w:val="699F7B23"/>
    <w:rsid w:val="6E162B39"/>
    <w:rsid w:val="6EFA6321"/>
    <w:rsid w:val="6F7417B0"/>
    <w:rsid w:val="72D9790F"/>
    <w:rsid w:val="74326E7E"/>
    <w:rsid w:val="77224EC0"/>
    <w:rsid w:val="7B041A2D"/>
    <w:rsid w:val="7E951D5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18"/>
      <w:szCs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Times New Roman" w:hAnsi="Times New Roman" w:eastAsia="黑体"/>
      <w:kern w:val="44"/>
      <w:sz w:val="44"/>
      <w:szCs w:val="21"/>
    </w:rPr>
  </w:style>
  <w:style w:type="character" w:default="1" w:styleId="3">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character" w:styleId="4">
    <w:name w:val="FollowedHyperlink"/>
    <w:basedOn w:val="3"/>
    <w:uiPriority w:val="0"/>
    <w:rPr>
      <w:color w:val="800080"/>
      <w:u w:val="single"/>
    </w:rPr>
  </w:style>
  <w:style w:type="character" w:styleId="5">
    <w:name w:val="Hyperlink"/>
    <w:basedOn w:val="3"/>
    <w:uiPriority w:val="0"/>
    <w:rPr>
      <w:color w:val="0000FF"/>
      <w:u w:val="single"/>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8">
    <w:name w:val="样式1作者"/>
    <w:basedOn w:val="1"/>
    <w:qFormat/>
    <w:uiPriority w:val="0"/>
    <w:rPr>
      <w:rFonts w:ascii="Times New Roman" w:hAnsi="Times New Roman" w:eastAsia="楷体"/>
      <w:sz w:val="28"/>
      <w:szCs w:val="21"/>
    </w:rPr>
  </w:style>
  <w:style w:type="paragraph" w:customStyle="1" w:styleId="9">
    <w:name w:val="样式2地址"/>
    <w:basedOn w:val="1"/>
    <w:qFormat/>
    <w:uiPriority w:val="0"/>
    <w:rPr>
      <w:rFonts w:ascii="Times New Roman" w:hAnsi="Times New Roman" w:eastAsia="宋体"/>
      <w:sz w:val="15"/>
      <w:szCs w:val="21"/>
    </w:rPr>
  </w:style>
  <w:style w:type="paragraph" w:customStyle="1" w:styleId="10">
    <w:name w:val="文章标题"/>
    <w:basedOn w:val="1"/>
    <w:qFormat/>
    <w:uiPriority w:val="0"/>
    <w:pPr>
      <w:spacing w:line="360" w:lineRule="auto"/>
    </w:pPr>
    <w:rPr>
      <w:rFonts w:eastAsia="黑体" w:cs="Times New Roman"/>
      <w:sz w:val="44"/>
      <w:szCs w:val="24"/>
    </w:rPr>
  </w:style>
  <w:style w:type="paragraph" w:customStyle="1" w:styleId="11">
    <w:name w:val="作者名字"/>
    <w:basedOn w:val="1"/>
    <w:uiPriority w:val="0"/>
    <w:pPr>
      <w:spacing w:line="360" w:lineRule="auto"/>
    </w:pPr>
    <w:rPr>
      <w:rFonts w:ascii="Times New Roman" w:eastAsia="楷体" w:cs="Times New Roman"/>
      <w:sz w:val="28"/>
      <w:szCs w:val="24"/>
    </w:rPr>
  </w:style>
  <w:style w:type="paragraph" w:customStyle="1" w:styleId="12">
    <w:name w:val="地址邮编"/>
    <w:basedOn w:val="1"/>
    <w:uiPriority w:val="0"/>
    <w:pPr>
      <w:spacing w:line="360" w:lineRule="auto"/>
    </w:pPr>
    <w:rPr>
      <w:rFonts w:ascii="Times New Roman" w:cs="Times New Roman"/>
      <w:sz w:val="15"/>
      <w:szCs w:val="24"/>
    </w:rPr>
  </w:style>
  <w:style w:type="paragraph" w:customStyle="1" w:styleId="13">
    <w:name w:val="文章内容"/>
    <w:basedOn w:val="1"/>
    <w:qFormat/>
    <w:uiPriority w:val="0"/>
    <w:pPr>
      <w:spacing w:line="360" w:lineRule="auto"/>
    </w:pPr>
    <w:rPr>
      <w:rFonts w:cs="Times New Roman"/>
      <w:sz w:val="1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zhaoxinlei</dc:creator>
  <cp:lastModifiedBy>Administrator</cp:lastModifiedBy>
  <dcterms:modified xsi:type="dcterms:W3CDTF">2017-07-04T07:25:26Z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