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200"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0"/>
        <w:gridCol w:w="6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论文题目：</w:t>
            </w:r>
          </w:p>
        </w:tc>
        <w:tc>
          <w:tcPr>
            <w:tcW w:w="6620" w:type="dxa"/>
            <w:vAlign w:val="center"/>
          </w:tcPr>
          <w:p>
            <w:pPr>
              <w:jc w:val="both"/>
              <w:rPr>
                <w:b/>
                <w:bCs/>
                <w:sz w:val="21"/>
                <w:szCs w:val="21"/>
                <w:vertAlign w:val="baseline"/>
              </w:rPr>
            </w:pPr>
            <w:r>
              <w:rPr>
                <w:rFonts w:hint="eastAsia"/>
                <w:b/>
                <w:bCs/>
                <w:sz w:val="21"/>
                <w:szCs w:val="21"/>
              </w:rPr>
              <w:t>"Phylogeny and dating of divergences within the</w:t>
            </w:r>
            <w:r>
              <w:rPr>
                <w:rFonts w:hint="eastAsia"/>
                <w:b/>
                <w:bCs/>
                <w:sz w:val="21"/>
                <w:szCs w:val="21"/>
                <w:lang w:val="en-US" w:eastAsia="zh-CN"/>
              </w:rPr>
              <w:t xml:space="preserve"> </w:t>
            </w:r>
            <w:r>
              <w:rPr>
                <w:rFonts w:hint="eastAsia"/>
                <w:b/>
                <w:bCs/>
                <w:sz w:val="21"/>
                <w:szCs w:val="21"/>
              </w:rPr>
              <w:t>genus Thymallus (Salmonidae: Thymallinae) using</w:t>
            </w:r>
            <w:r>
              <w:rPr>
                <w:rFonts w:hint="eastAsia"/>
                <w:b/>
                <w:bCs/>
                <w:sz w:val="21"/>
                <w:szCs w:val="21"/>
                <w:lang w:val="en-US" w:eastAsia="zh-CN"/>
              </w:rPr>
              <w:t xml:space="preserve"> </w:t>
            </w:r>
            <w:r>
              <w:rPr>
                <w:rFonts w:hint="eastAsia"/>
                <w:b/>
                <w:bCs/>
                <w:sz w:val="21"/>
                <w:szCs w:val="21"/>
              </w:rPr>
              <w:t>complete mitochondrial genomes"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作者：</w:t>
            </w:r>
          </w:p>
        </w:tc>
        <w:tc>
          <w:tcPr>
            <w:tcW w:w="6620" w:type="dxa"/>
            <w:vAlign w:val="center"/>
          </w:tcPr>
          <w:p>
            <w:pPr>
              <w:jc w:val="both"/>
              <w:rPr>
                <w:sz w:val="21"/>
                <w:szCs w:val="21"/>
                <w:vertAlign w:val="baseline"/>
              </w:rPr>
            </w:pPr>
            <w:r>
              <w:rPr>
                <w:rFonts w:hint="eastAsia"/>
                <w:sz w:val="21"/>
                <w:szCs w:val="21"/>
              </w:rPr>
              <w:t>Ma B#,Jiang HY,Sun P#, Chen JP*, Li LM, Zhang XJ,Yuan LH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年：</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卷：</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页：</w:t>
            </w:r>
          </w:p>
        </w:tc>
        <w:tc>
          <w:tcPr>
            <w:tcW w:w="6620" w:type="dxa"/>
            <w:vAlign w:val="center"/>
          </w:tcPr>
          <w:p>
            <w:pPr>
              <w:jc w:val="both"/>
              <w:rPr>
                <w:rFonts w:hint="eastAsia" w:eastAsia="宋体"/>
                <w:sz w:val="21"/>
                <w:szCs w:val="21"/>
                <w:vertAlign w:val="baseline"/>
                <w:lang w:val="en-US" w:eastAsia="zh-CN"/>
              </w:rPr>
            </w:pPr>
            <w:r>
              <w:rPr>
                <w:rFonts w:hint="eastAsia"/>
                <w:sz w:val="21"/>
                <w:szCs w:val="21"/>
              </w:rPr>
              <w:t>3602–3611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联系作者：</w:t>
            </w:r>
          </w:p>
        </w:tc>
        <w:tc>
          <w:tcPr>
            <w:tcW w:w="6620" w:type="dxa"/>
            <w:vAlign w:val="center"/>
          </w:tcPr>
          <w:p>
            <w:pPr>
              <w:jc w:val="both"/>
              <w:rPr>
                <w:rFonts w:hint="eastAsia" w:eastAsia="宋体"/>
                <w:sz w:val="21"/>
                <w:szCs w:val="21"/>
                <w:vertAlign w:val="baseline"/>
                <w:lang w:eastAsia="zh-CN"/>
              </w:rPr>
            </w:pPr>
            <w:r>
              <w:rPr>
                <w:rFonts w:hint="eastAsia"/>
                <w:sz w:val="21"/>
                <w:szCs w:val="21"/>
              </w:rPr>
              <w:t>陈金平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发表期刊：</w:t>
            </w:r>
          </w:p>
        </w:tc>
        <w:tc>
          <w:tcPr>
            <w:tcW w:w="6620" w:type="dxa"/>
            <w:vAlign w:val="center"/>
          </w:tcPr>
          <w:p>
            <w:pPr>
              <w:jc w:val="both"/>
              <w:rPr>
                <w:b/>
                <w:bCs/>
                <w:sz w:val="21"/>
                <w:szCs w:val="21"/>
                <w:vertAlign w:val="baseline"/>
              </w:rPr>
            </w:pPr>
            <w:r>
              <w:rPr>
                <w:rFonts w:hint="eastAsia"/>
                <w:b/>
                <w:bCs/>
                <w:sz w:val="21"/>
                <w:szCs w:val="21"/>
              </w:rPr>
              <w:t>Mitochondrial DNA Part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原文链接：</w:t>
            </w:r>
          </w:p>
        </w:tc>
        <w:tc>
          <w:tcPr>
            <w:tcW w:w="6620" w:type="dxa"/>
            <w:vAlign w:val="center"/>
          </w:tcPr>
          <w:p>
            <w:pPr>
              <w:jc w:val="both"/>
              <w:rPr>
                <w:rFonts w:hint="eastAsia"/>
                <w:sz w:val="21"/>
                <w:szCs w:val="21"/>
              </w:rPr>
            </w:pPr>
            <w:r>
              <w:rPr>
                <w:rFonts w:hint="eastAsia"/>
                <w:sz w:val="21"/>
                <w:szCs w:val="21"/>
              </w:rPr>
              <w:fldChar w:fldCharType="begin"/>
            </w:r>
            <w:r>
              <w:rPr>
                <w:rFonts w:hint="eastAsia"/>
                <w:sz w:val="21"/>
                <w:szCs w:val="21"/>
              </w:rPr>
              <w:instrText xml:space="preserve"> HYPERLINK "http://www.tandfonline.com/doi/abs/10.3109/19401736.2015.1079824" </w:instrText>
            </w:r>
            <w:r>
              <w:rPr>
                <w:rFonts w:hint="eastAsia"/>
                <w:sz w:val="21"/>
                <w:szCs w:val="21"/>
              </w:rPr>
              <w:fldChar w:fldCharType="separate"/>
            </w:r>
            <w:r>
              <w:rPr>
                <w:rStyle w:val="5"/>
                <w:rFonts w:hint="eastAsia"/>
                <w:sz w:val="21"/>
                <w:szCs w:val="21"/>
              </w:rPr>
              <w:t>http://www.tandfonline.com/doi/abs/10.3109/19401736.2015.1079824</w:t>
            </w:r>
            <w:r>
              <w:rPr>
                <w:rFonts w:hint="eastAsia"/>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9"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摘要：</w:t>
            </w:r>
          </w:p>
        </w:tc>
        <w:tc>
          <w:tcPr>
            <w:tcW w:w="6620" w:type="dxa"/>
            <w:vAlign w:val="center"/>
          </w:tcPr>
          <w:p>
            <w:pPr>
              <w:jc w:val="both"/>
              <w:rPr>
                <w:sz w:val="21"/>
                <w:szCs w:val="21"/>
                <w:vertAlign w:val="baseline"/>
              </w:rPr>
            </w:pPr>
            <w:r>
              <w:rPr>
                <w:rFonts w:hint="eastAsia"/>
                <w:sz w:val="21"/>
                <w:szCs w:val="21"/>
              </w:rPr>
              <w:t>The genus Thymallus has attracted increasing attention in recent years because of its sharp demographic decline. In this study, we reported four complete mitochondrial genomes in the Thymallus genus: Baikal-Lena grayling (T. arcticus baicalolenensis), lower Amur grayling (T. tugarinae), Yalu grayling (T. a. yaluensis), and Mongolian grayling (T. brevirostris). The total length of the four new grayling mtDNAs ranged from 16 658 to 16 663 bp, all of which contained 13 protein-coding genes, 22 tRNA genes, two rRNA genes, and one control region. The results suggested that mitochondrial genomes could be a powerful marker for resolving the phylogeny within Thymallinae. Our study validated that the Yalu grayling should be a synonym of the Amur grayling (T. grubii) at the whole mitogenome level. The phylogenetic and dating analyses placed the Amur grayling at the deepest divergence node within Thymallus, diverging at ∼14.95 Ma. The lower Amur grayling diverged at the next deepest node (∼12.14 Ma). This was followed by T. thymallus, which diverged at ∼9.27 Ma. The Mongolian grayling and the ancestor of the sister species, T. arcticus and T. arcticus baicalolenensis, diverged at ∼7.79 Ma, with T. arcticus and T. arcticus baicalolenensis separating at ∼6.64 Ma. Our study provides far better resolution of the phylogenetic relationships and divergence dates of graylings than previous studies.</w:t>
            </w:r>
          </w:p>
        </w:tc>
      </w:tr>
    </w:tbl>
    <w:p>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dobeSongStd-Light">
    <w:altName w:val="hakuyoxingshu7000"/>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DLF-32769-4-1908480264+ZKWH81-9">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A8D6AE4"/>
    <w:rsid w:val="0CCC4E94"/>
    <w:rsid w:val="0E900F8F"/>
    <w:rsid w:val="0F76415B"/>
    <w:rsid w:val="119C2189"/>
    <w:rsid w:val="19E62CD2"/>
    <w:rsid w:val="1FCE2D45"/>
    <w:rsid w:val="205A4A08"/>
    <w:rsid w:val="237265CB"/>
    <w:rsid w:val="23AE6F6C"/>
    <w:rsid w:val="289D47A3"/>
    <w:rsid w:val="2B536466"/>
    <w:rsid w:val="2C10646C"/>
    <w:rsid w:val="2EBF311D"/>
    <w:rsid w:val="367B6C0F"/>
    <w:rsid w:val="37783834"/>
    <w:rsid w:val="3FE667C6"/>
    <w:rsid w:val="473543B1"/>
    <w:rsid w:val="4DCC43AB"/>
    <w:rsid w:val="4E31417B"/>
    <w:rsid w:val="4EE87368"/>
    <w:rsid w:val="505F06F8"/>
    <w:rsid w:val="51F22F85"/>
    <w:rsid w:val="54CA4BEE"/>
    <w:rsid w:val="5B3D62CE"/>
    <w:rsid w:val="699F7B23"/>
    <w:rsid w:val="6E162B39"/>
    <w:rsid w:val="6EFA6321"/>
    <w:rsid w:val="6F7417B0"/>
    <w:rsid w:val="72D9790F"/>
    <w:rsid w:val="74326E7E"/>
    <w:rsid w:val="7564572C"/>
    <w:rsid w:val="77224EC0"/>
    <w:rsid w:val="7B041A2D"/>
    <w:rsid w:val="7E951D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18"/>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imes New Roman" w:hAnsi="Times New Roman" w:eastAsia="黑体"/>
      <w:kern w:val="44"/>
      <w:sz w:val="44"/>
      <w:szCs w:val="21"/>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4">
    <w:name w:val="FollowedHyperlink"/>
    <w:basedOn w:val="3"/>
    <w:uiPriority w:val="0"/>
    <w:rPr>
      <w:color w:val="800080"/>
      <w:u w:val="single"/>
    </w:rPr>
  </w:style>
  <w:style w:type="character" w:styleId="5">
    <w:name w:val="Hyperlink"/>
    <w:basedOn w:val="3"/>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样式1作者"/>
    <w:basedOn w:val="1"/>
    <w:qFormat/>
    <w:uiPriority w:val="0"/>
    <w:rPr>
      <w:rFonts w:ascii="Times New Roman" w:hAnsi="Times New Roman" w:eastAsia="楷体"/>
      <w:sz w:val="28"/>
      <w:szCs w:val="21"/>
    </w:rPr>
  </w:style>
  <w:style w:type="paragraph" w:customStyle="1" w:styleId="9">
    <w:name w:val="样式2地址"/>
    <w:basedOn w:val="1"/>
    <w:qFormat/>
    <w:uiPriority w:val="0"/>
    <w:rPr>
      <w:rFonts w:ascii="Times New Roman" w:hAnsi="Times New Roman" w:eastAsia="宋体"/>
      <w:sz w:val="15"/>
      <w:szCs w:val="21"/>
    </w:rPr>
  </w:style>
  <w:style w:type="paragraph" w:customStyle="1" w:styleId="10">
    <w:name w:val="文章标题"/>
    <w:basedOn w:val="1"/>
    <w:qFormat/>
    <w:uiPriority w:val="0"/>
    <w:pPr>
      <w:spacing w:line="360" w:lineRule="auto"/>
    </w:pPr>
    <w:rPr>
      <w:rFonts w:eastAsia="黑体" w:cs="Times New Roman"/>
      <w:sz w:val="44"/>
      <w:szCs w:val="24"/>
    </w:rPr>
  </w:style>
  <w:style w:type="paragraph" w:customStyle="1" w:styleId="11">
    <w:name w:val="作者名字"/>
    <w:basedOn w:val="1"/>
    <w:uiPriority w:val="0"/>
    <w:pPr>
      <w:spacing w:line="360" w:lineRule="auto"/>
    </w:pPr>
    <w:rPr>
      <w:rFonts w:ascii="Times New Roman" w:eastAsia="楷体" w:cs="Times New Roman"/>
      <w:sz w:val="28"/>
      <w:szCs w:val="24"/>
    </w:rPr>
  </w:style>
  <w:style w:type="paragraph" w:customStyle="1" w:styleId="12">
    <w:name w:val="地址邮编"/>
    <w:basedOn w:val="1"/>
    <w:uiPriority w:val="0"/>
    <w:pPr>
      <w:spacing w:line="360" w:lineRule="auto"/>
    </w:pPr>
    <w:rPr>
      <w:rFonts w:ascii="Times New Roman" w:cs="Times New Roman"/>
      <w:sz w:val="15"/>
      <w:szCs w:val="24"/>
    </w:rPr>
  </w:style>
  <w:style w:type="paragraph" w:customStyle="1" w:styleId="13">
    <w:name w:val="文章内容"/>
    <w:basedOn w:val="1"/>
    <w:qFormat/>
    <w:uiPriority w:val="0"/>
    <w:pPr>
      <w:spacing w:line="360" w:lineRule="auto"/>
    </w:pPr>
    <w:rPr>
      <w:rFonts w:cs="Times New Roman"/>
      <w:sz w:val="1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dcterms:modified xsi:type="dcterms:W3CDTF">2017-07-04T08:42:30Z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